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092" w:rsidRDefault="00C5144F">
      <w:pPr>
        <w:jc w:val="center"/>
        <w:rPr>
          <w:rFonts w:ascii="宋体" w:eastAsia="宋体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30"/>
          <w:szCs w:val="30"/>
        </w:rPr>
        <w:t>全自动尿液分析系统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30"/>
          <w:szCs w:val="30"/>
        </w:rPr>
        <w:t>产品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30"/>
          <w:szCs w:val="30"/>
        </w:rPr>
        <w:t>性能</w:t>
      </w:r>
      <w:r>
        <w:rPr>
          <w:rFonts w:ascii="宋体" w:eastAsia="宋体" w:hAnsi="宋体" w:cs="宋体" w:hint="eastAsia"/>
          <w:b/>
          <w:color w:val="000000" w:themeColor="text1"/>
          <w:kern w:val="0"/>
          <w:sz w:val="30"/>
          <w:szCs w:val="30"/>
        </w:rPr>
        <w:t>参数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2177"/>
      </w:tblGrid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1、产品要求：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一次吸样，即可同时完成尿液有形成分和干化学检测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修改建议及理由</w:t>
            </w: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E21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2、测试原理：</w:t>
            </w:r>
            <w:proofErr w:type="gramStart"/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尿干化学</w:t>
            </w:r>
            <w:proofErr w:type="gramEnd"/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采用CIS接触式图像传感器检测系统，尿有形成分分析采用</w:t>
            </w:r>
            <w:proofErr w:type="gramStart"/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平面鞘流技术</w:t>
            </w:r>
            <w:proofErr w:type="gramEnd"/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及数字成像自动识别原理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★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3、</w:t>
            </w: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检测项目：</w:t>
            </w:r>
            <w:r w:rsidRPr="001E21C5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干化学测试项目14项</w:t>
            </w: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，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并提供微量白蛋白和</w:t>
            </w:r>
            <w:proofErr w:type="gramStart"/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肌酐</w:t>
            </w:r>
            <w:proofErr w:type="gramEnd"/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的比值参数（ACR比值）；有形成分自动识别测试项目14项；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</w:tc>
        <w:bookmarkStart w:id="0" w:name="_GoBack"/>
        <w:bookmarkEnd w:id="0"/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★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4、</w:t>
            </w:r>
            <w:r w:rsidRPr="001E21C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理学项目（选配）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：颜色（RGB三原色法）、浊度（散色法）、比重、渗透压、电导率5项参数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★</w:t>
            </w:r>
            <w:r w:rsidRPr="001E21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5、红细胞形态学检测：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可通过红细胞形态的鉴定发出红细胞位相报告，可提供R-RATE、MCV、RDW-CV直方图4项报告参数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★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6、</w:t>
            </w: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检测速度：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干化学测试模式≥280个/每小时；有形成分测试模式≥110个/每小时；联合测试模式≥120个/每小时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numPr>
                <w:ilvl w:val="0"/>
                <w:numId w:val="1"/>
              </w:numPr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E21C5">
              <w:rPr>
                <w:rFonts w:ascii="宋体" w:eastAsia="宋体" w:hAnsi="宋体" w:cs="宋体" w:hint="eastAsia"/>
                <w:b/>
                <w:bCs/>
                <w:szCs w:val="21"/>
              </w:rPr>
              <w:t>样本需求量：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干化学测试模式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最小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1.5mL；有形成分测试模式最小2mL，联合测试模式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最小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2mL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numPr>
                <w:ilvl w:val="0"/>
                <w:numId w:val="1"/>
              </w:numPr>
              <w:ind w:firstLineChars="0" w:firstLine="0"/>
              <w:jc w:val="left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8、联机：可以两台连城一体机流水线，测试速度可以达到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≥240个/每小时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9、</w:t>
            </w: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样本处理</w:t>
            </w:r>
            <w:r w:rsidRPr="001E21C5">
              <w:rPr>
                <w:rFonts w:ascii="宋体" w:eastAsia="宋体" w:hAnsi="宋体" w:cs="宋体" w:hint="eastAsia"/>
                <w:kern w:val="0"/>
                <w:szCs w:val="21"/>
              </w:rPr>
              <w:t xml:space="preserve"> 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无需离心及等待粒子沉降，无需特殊染色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110、</w:t>
            </w:r>
            <w:r w:rsidRPr="001E21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样本放置位：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≥200个样本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★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11、</w:t>
            </w:r>
            <w:r w:rsidRPr="001E21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试纸仓容量：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≥500条试纸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12、</w:t>
            </w: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急诊测试：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可进行单个样本的急诊测试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13、</w:t>
            </w: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图像显示功能：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可显示并存储在加入样本反应后的尿试纸条图像，及有形成份的真实图像，用于结果审核与查阅等方面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14、</w:t>
            </w: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有形</w:t>
            </w:r>
            <w:proofErr w:type="gramStart"/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成分拍图量</w:t>
            </w:r>
            <w:proofErr w:type="gramEnd"/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2000帧/样本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15、原图查询功能：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可显示并存储有形成份的真实全景图片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16、</w:t>
            </w:r>
            <w:r w:rsidRPr="001E21C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存储与查询：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40万个结果以上，可实时查询，断电后存储数据不丢失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17、</w:t>
            </w: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报告打印：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可同时</w:t>
            </w:r>
            <w:proofErr w:type="gramStart"/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打印尿干化学</w:t>
            </w:r>
            <w:proofErr w:type="gramEnd"/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及有形成分的检测结果，并显示有形成份真实图像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18、</w:t>
            </w: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数据接口：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支持与 LIS/HIS 系统联机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19、</w:t>
            </w: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输入输出端口：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具备鼠标接口、键盘接口、USB接口、串口、网络接口、视频输出口、音频输出口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20、</w:t>
            </w: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试管位号与</w:t>
            </w:r>
            <w:proofErr w:type="gramStart"/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试管架号自动检测</w:t>
            </w:r>
            <w:proofErr w:type="gramEnd"/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分析系统可自动识别试管位号与</w:t>
            </w:r>
            <w:proofErr w:type="gramStart"/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试管架号</w:t>
            </w:r>
            <w:proofErr w:type="gramEnd"/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21、</w:t>
            </w: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清洗、排堵：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备强力清洗试剂，定期清洗及维护液路，且具备反冲排堵功能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22、</w:t>
            </w: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语音提示：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可自动发出语音播报提示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23、</w:t>
            </w: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样本量检测：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采用液面感应技术，当测试样本量不足时有报警提示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24、</w:t>
            </w: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进样方式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：支持封闭式穿刺进样、切断气溶胶传播途径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★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25、</w:t>
            </w: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支持条码识别：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可内置条形码扫描器识别条形码、支持LIS双工模式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26、</w:t>
            </w: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识别率：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有形成分识别率红细胞≥92%、白细胞≥88%、管型≥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85%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27、</w:t>
            </w:r>
            <w:r w:rsidRPr="001E21C5">
              <w:rPr>
                <w:rFonts w:ascii="宋体" w:eastAsia="宋体" w:hAnsi="宋体" w:cs="宋体" w:hint="eastAsia"/>
                <w:b/>
                <w:kern w:val="0"/>
                <w:szCs w:val="21"/>
              </w:rPr>
              <w:t>电脑主机和显示屏配置：</w:t>
            </w: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联想商务机型，处理器英特尔酷</w:t>
            </w:r>
            <w:proofErr w:type="gramStart"/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睿</w:t>
            </w:r>
            <w:proofErr w:type="gramEnd"/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i5，主频3.00GHz，内存8GB，硬盘128G SSD和1T 机械硬盘（7200转），显卡GTX1050Ti 4G GDDR5独显，操作系统Windows 10，显示器22英寸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pStyle w:val="a4"/>
              <w:ind w:firstLineChars="0" w:firstLine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1E21C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28、</w:t>
            </w:r>
            <w:r w:rsidRPr="001E21C5">
              <w:rPr>
                <w:rFonts w:ascii="宋体" w:eastAsia="宋体" w:hAnsi="宋体" w:cs="宋体" w:hint="eastAsia"/>
                <w:szCs w:val="21"/>
              </w:rPr>
              <w:t>制造商具有ISO9001、ISO13485认证，仪器有CE认证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spacing w:line="360" w:lineRule="auto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1E21C5">
              <w:rPr>
                <w:rFonts w:ascii="宋体" w:eastAsia="宋体" w:hAnsi="宋体" w:cs="宋体" w:hint="eastAsia"/>
                <w:szCs w:val="21"/>
              </w:rPr>
              <w:t>29、制造商有同品牌配套的尿试纸、</w:t>
            </w:r>
            <w:proofErr w:type="gramStart"/>
            <w:r w:rsidRPr="001E21C5">
              <w:rPr>
                <w:rFonts w:ascii="宋体" w:eastAsia="宋体" w:hAnsi="宋体" w:cs="宋体" w:hint="eastAsia"/>
                <w:szCs w:val="21"/>
              </w:rPr>
              <w:t>质干化学</w:t>
            </w:r>
            <w:proofErr w:type="gramEnd"/>
            <w:r w:rsidRPr="001E21C5">
              <w:rPr>
                <w:rFonts w:ascii="宋体" w:eastAsia="宋体" w:hAnsi="宋体" w:cs="宋体" w:hint="eastAsia"/>
                <w:szCs w:val="21"/>
              </w:rPr>
              <w:t>控液、4种尿有型成分质控物（提供证件）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1E21C5">
              <w:rPr>
                <w:rFonts w:ascii="宋体" w:eastAsia="宋体" w:hAnsi="宋体" w:cs="宋体" w:hint="eastAsia"/>
                <w:szCs w:val="21"/>
              </w:rPr>
              <w:t>★30、</w:t>
            </w:r>
            <w:r w:rsidRPr="001E21C5">
              <w:rPr>
                <w:rFonts w:ascii="宋体" w:eastAsia="宋体" w:hAnsi="宋体" w:cs="宋体" w:hint="eastAsia"/>
                <w:b/>
                <w:bCs/>
                <w:szCs w:val="21"/>
              </w:rPr>
              <w:t>售后服务：</w:t>
            </w:r>
            <w:r w:rsidRPr="001E21C5">
              <w:rPr>
                <w:rFonts w:ascii="宋体" w:eastAsia="宋体" w:hAnsi="宋体" w:cs="宋体" w:hint="eastAsia"/>
                <w:szCs w:val="21"/>
              </w:rPr>
              <w:t>制造商在本省区设有直属售后服务机构（提供相关政府部门出具的证件复印件），专职服务工程师≥10人（提供安徽省内社保局盖章的社保缴纳证明），做到立即响应，1个工作日内上门服务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1E21C5">
              <w:rPr>
                <w:rFonts w:ascii="宋体" w:eastAsia="宋体" w:hAnsi="宋体" w:cs="宋体" w:hint="eastAsia"/>
                <w:szCs w:val="21"/>
              </w:rPr>
              <w:t>31、投标人提供厂家实验室2017、2018、2019连续三年国家卫生部室间质评合格证书，满足并且考核成绩全部合格的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1E21C5" w:rsidRPr="001E21C5" w:rsidTr="001E21C5">
        <w:tc>
          <w:tcPr>
            <w:tcW w:w="6345" w:type="dxa"/>
          </w:tcPr>
          <w:p w:rsidR="001E21C5" w:rsidRPr="001E21C5" w:rsidRDefault="001E21C5" w:rsidP="002454E7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1E21C5">
              <w:rPr>
                <w:rFonts w:ascii="宋体" w:eastAsia="宋体" w:hAnsi="宋体" w:cs="宋体" w:hint="eastAsia"/>
                <w:szCs w:val="21"/>
              </w:rPr>
              <w:t>★32、投标产品干化学在国家卫生健康委员会临检中心的室间质</w:t>
            </w:r>
            <w:proofErr w:type="gramStart"/>
            <w:r w:rsidRPr="001E21C5">
              <w:rPr>
                <w:rFonts w:ascii="宋体" w:eastAsia="宋体" w:hAnsi="宋体" w:cs="宋体" w:hint="eastAsia"/>
                <w:szCs w:val="21"/>
              </w:rPr>
              <w:t>评具备</w:t>
            </w:r>
            <w:proofErr w:type="gramEnd"/>
            <w:r w:rsidRPr="001E21C5">
              <w:rPr>
                <w:rFonts w:ascii="宋体" w:eastAsia="宋体" w:hAnsi="宋体" w:cs="宋体" w:hint="eastAsia"/>
                <w:szCs w:val="21"/>
              </w:rPr>
              <w:t>单独分组，并且实验室数量达到810家以上（提供2020年国家卫生部室临床检验中心间质评</w:t>
            </w:r>
            <w:proofErr w:type="gramStart"/>
            <w:r w:rsidRPr="001E21C5">
              <w:rPr>
                <w:rFonts w:ascii="宋体" w:eastAsia="宋体" w:hAnsi="宋体" w:cs="宋体" w:hint="eastAsia"/>
                <w:szCs w:val="21"/>
              </w:rPr>
              <w:t>官网截</w:t>
            </w:r>
            <w:proofErr w:type="gramEnd"/>
            <w:r w:rsidRPr="001E21C5">
              <w:rPr>
                <w:rFonts w:ascii="宋体" w:eastAsia="宋体" w:hAnsi="宋体" w:cs="宋体" w:hint="eastAsia"/>
                <w:szCs w:val="21"/>
              </w:rPr>
              <w:t>图）</w:t>
            </w:r>
          </w:p>
        </w:tc>
        <w:tc>
          <w:tcPr>
            <w:tcW w:w="2177" w:type="dxa"/>
          </w:tcPr>
          <w:p w:rsidR="001E21C5" w:rsidRPr="001E21C5" w:rsidRDefault="001E21C5" w:rsidP="002454E7">
            <w:pPr>
              <w:spacing w:line="360" w:lineRule="auto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:rsidR="00091092" w:rsidRDefault="00091092" w:rsidP="001E21C5">
      <w:pPr>
        <w:pStyle w:val="a4"/>
        <w:ind w:firstLineChars="0" w:firstLine="0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</w:p>
    <w:sectPr w:rsidR="0009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44F" w:rsidRDefault="00C5144F" w:rsidP="001E21C5">
      <w:r>
        <w:separator/>
      </w:r>
    </w:p>
  </w:endnote>
  <w:endnote w:type="continuationSeparator" w:id="0">
    <w:p w:rsidR="00C5144F" w:rsidRDefault="00C5144F" w:rsidP="001E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44F" w:rsidRDefault="00C5144F" w:rsidP="001E21C5">
      <w:r>
        <w:separator/>
      </w:r>
    </w:p>
  </w:footnote>
  <w:footnote w:type="continuationSeparator" w:id="0">
    <w:p w:rsidR="00C5144F" w:rsidRDefault="00C5144F" w:rsidP="001E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0B07A"/>
    <w:multiLevelType w:val="singleLevel"/>
    <w:tmpl w:val="6210B07A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092"/>
    <w:rsid w:val="00091092"/>
    <w:rsid w:val="001E21C5"/>
    <w:rsid w:val="00C5144F"/>
    <w:rsid w:val="1AAF4D7D"/>
    <w:rsid w:val="1DE23E68"/>
    <w:rsid w:val="2B6A3D5A"/>
    <w:rsid w:val="32132AAC"/>
    <w:rsid w:val="352A6067"/>
    <w:rsid w:val="36565673"/>
    <w:rsid w:val="39ED5F5E"/>
    <w:rsid w:val="3A0D06A0"/>
    <w:rsid w:val="45135239"/>
    <w:rsid w:val="470F4816"/>
    <w:rsid w:val="54D535E0"/>
    <w:rsid w:val="56B27F8E"/>
    <w:rsid w:val="5DEA49D8"/>
    <w:rsid w:val="67703A11"/>
    <w:rsid w:val="708A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F6FFEE"/>
  <w15:docId w15:val="{6BD53396-86AE-46AF-AA03-C196AA8D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1E2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E21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E2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E21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azm</dc:creator>
  <cp:lastModifiedBy>Administrator</cp:lastModifiedBy>
  <cp:revision>2</cp:revision>
  <dcterms:created xsi:type="dcterms:W3CDTF">2020-11-23T04:25:00Z</dcterms:created>
  <dcterms:modified xsi:type="dcterms:W3CDTF">2021-03-09T08:50:00Z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